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3D41A" w14:textId="5256B8F6" w:rsidR="001848C0" w:rsidRDefault="001848C0" w:rsidP="00F53EC5">
      <w:pPr>
        <w:spacing w:line="480" w:lineRule="auto"/>
        <w:ind w:firstLine="720"/>
        <w:rPr>
          <w:rFonts w:cs="Arial (Body CS)"/>
          <w:b/>
        </w:rPr>
      </w:pPr>
      <w:bookmarkStart w:id="0" w:name="_GoBack"/>
      <w:bookmarkEnd w:id="0"/>
      <w:r w:rsidRPr="001848C0">
        <w:rPr>
          <w:rFonts w:cs="Arial (Body CS)"/>
          <w:b/>
        </w:rPr>
        <w:t xml:space="preserve">         IAGG’s Written statement to the X</w:t>
      </w:r>
      <w:r w:rsidR="00AA6748">
        <w:rPr>
          <w:rFonts w:cs="Arial (Body CS)"/>
          <w:b/>
        </w:rPr>
        <w:t xml:space="preserve">TH </w:t>
      </w:r>
      <w:r w:rsidRPr="001848C0">
        <w:rPr>
          <w:rFonts w:cs="Arial (Body CS)"/>
          <w:b/>
        </w:rPr>
        <w:t>OEWGA on Long Term Care</w:t>
      </w:r>
    </w:p>
    <w:p w14:paraId="35173950" w14:textId="32EFCB30" w:rsidR="001848C0" w:rsidRDefault="001848C0" w:rsidP="001848C0">
      <w:pPr>
        <w:spacing w:line="480" w:lineRule="auto"/>
        <w:ind w:firstLine="720"/>
        <w:jc w:val="center"/>
        <w:rPr>
          <w:rFonts w:cs="Arial (Body CS)"/>
          <w:b/>
        </w:rPr>
      </w:pPr>
      <w:r>
        <w:rPr>
          <w:rFonts w:cs="Arial (Body CS)"/>
          <w:b/>
        </w:rPr>
        <w:t>Carole Cox and Issi Doron</w:t>
      </w:r>
    </w:p>
    <w:p w14:paraId="3CF4D0F8" w14:textId="1370A51B" w:rsidR="00DC7163" w:rsidRDefault="00F53EC5" w:rsidP="00F53EC5">
      <w:pPr>
        <w:spacing w:line="480" w:lineRule="auto"/>
        <w:ind w:firstLine="720"/>
      </w:pPr>
      <w:r>
        <w:t xml:space="preserve">The human right to </w:t>
      </w:r>
      <w:r w:rsidR="000350F6">
        <w:t>L</w:t>
      </w:r>
      <w:r>
        <w:t xml:space="preserve">ong </w:t>
      </w:r>
      <w:r w:rsidR="000350F6">
        <w:t>T</w:t>
      </w:r>
      <w:r>
        <w:t xml:space="preserve">erm </w:t>
      </w:r>
      <w:r w:rsidR="000350F6">
        <w:t>S</w:t>
      </w:r>
      <w:r>
        <w:t xml:space="preserve">upport and </w:t>
      </w:r>
      <w:r w:rsidR="000350F6">
        <w:t>C</w:t>
      </w:r>
      <w:r>
        <w:t xml:space="preserve">are </w:t>
      </w:r>
      <w:r w:rsidR="0043638C">
        <w:t xml:space="preserve">(LTSC) </w:t>
      </w:r>
      <w:r>
        <w:t>did not appear in the non-binding UDHR, or i</w:t>
      </w:r>
      <w:r w:rsidR="0043638C">
        <w:t>n</w:t>
      </w:r>
      <w:r>
        <w:t xml:space="preserve"> its following legally binding</w:t>
      </w:r>
      <w:r w:rsidR="0043638C">
        <w:t xml:space="preserve"> HR</w:t>
      </w:r>
      <w:r>
        <w:t xml:space="preserve"> </w:t>
      </w:r>
      <w:r w:rsidR="001115E0">
        <w:t>C</w:t>
      </w:r>
      <w:r>
        <w:t>ovenants, the ICCPR and the ICESCR. However, aging is often associated with an increased risk of impairments that can lead to dependence</w:t>
      </w:r>
      <w:r w:rsidR="001115E0">
        <w:t>,</w:t>
      </w:r>
      <w:r>
        <w:t xml:space="preserve"> making the ability to fully participate in society difficult while </w:t>
      </w:r>
      <w:r w:rsidR="000350F6">
        <w:t xml:space="preserve">threatening </w:t>
      </w:r>
      <w:r>
        <w:t>both auto</w:t>
      </w:r>
      <w:r w:rsidR="00221BB7">
        <w:t>nomy and dignity. De</w:t>
      </w:r>
      <w:r>
        <w:t xml:space="preserve">pendency increases vulnerability, </w:t>
      </w:r>
      <w:r w:rsidR="00221BB7">
        <w:t xml:space="preserve">thereby increasing </w:t>
      </w:r>
      <w:r w:rsidR="00312BA0">
        <w:t>the</w:t>
      </w:r>
      <w:r w:rsidR="00221BB7">
        <w:t xml:space="preserve"> </w:t>
      </w:r>
      <w:r w:rsidR="00312BA0">
        <w:t>risk of</w:t>
      </w:r>
      <w:r>
        <w:t xml:space="preserve"> further erosion of human rights. </w:t>
      </w:r>
      <w:r w:rsidR="000350F6">
        <w:t>I</w:t>
      </w:r>
      <w:r>
        <w:t xml:space="preserve">nternational recognition of the human right to </w:t>
      </w:r>
      <w:r w:rsidR="00DC6D2A">
        <w:t>L</w:t>
      </w:r>
      <w:r>
        <w:t>TSC includes both social and health care supports</w:t>
      </w:r>
      <w:r w:rsidR="00221BB7">
        <w:t>,</w:t>
      </w:r>
      <w:r w:rsidR="000350F6">
        <w:t xml:space="preserve"> </w:t>
      </w:r>
      <w:r>
        <w:t>is crucial for ensuring the dignity</w:t>
      </w:r>
      <w:r w:rsidR="00AC4036">
        <w:t xml:space="preserve"> and functional capabilities</w:t>
      </w:r>
      <w:r w:rsidR="000350F6">
        <w:t xml:space="preserve"> </w:t>
      </w:r>
      <w:r>
        <w:t>of older persons</w:t>
      </w:r>
      <w:r w:rsidR="00CF2FD8">
        <w:t xml:space="preserve"> while assisting in reducing further deterioration. </w:t>
      </w:r>
    </w:p>
    <w:p w14:paraId="01927584" w14:textId="4080BC2D" w:rsidR="00301E92" w:rsidRDefault="00221BB7" w:rsidP="0048287A">
      <w:pPr>
        <w:spacing w:line="480" w:lineRule="auto"/>
        <w:rPr>
          <w:rFonts w:asciiTheme="majorBidi" w:hAnsiTheme="majorBidi" w:cstheme="majorBidi"/>
        </w:rPr>
      </w:pPr>
      <w:r>
        <w:t xml:space="preserve"> </w:t>
      </w:r>
      <w:r>
        <w:tab/>
        <w:t>T</w:t>
      </w:r>
      <w:r w:rsidR="00F53EC5">
        <w:t>here is little refere</w:t>
      </w:r>
      <w:r>
        <w:t>nc</w:t>
      </w:r>
      <w:r w:rsidR="00F53EC5">
        <w:t xml:space="preserve">e in the jurisprudential-gerontology literature on LTSC in the context of human rights. </w:t>
      </w:r>
      <w:r>
        <w:t>Most studies relate to</w:t>
      </w:r>
      <w:r w:rsidR="00F53EC5">
        <w:t xml:space="preserve"> rights in long term care centers or institutions</w:t>
      </w:r>
      <w:r w:rsidR="000F1A9E">
        <w:t xml:space="preserve">. </w:t>
      </w:r>
      <w:r w:rsidR="0048287A">
        <w:t xml:space="preserve">Moreover, </w:t>
      </w:r>
      <w:r w:rsidR="0048287A">
        <w:rPr>
          <w:rFonts w:asciiTheme="majorBidi" w:hAnsiTheme="majorBidi" w:cstheme="majorBidi"/>
        </w:rPr>
        <w:t>c</w:t>
      </w:r>
      <w:r w:rsidR="00301E92">
        <w:rPr>
          <w:rFonts w:asciiTheme="majorBidi" w:hAnsiTheme="majorBidi" w:cstheme="majorBidi"/>
        </w:rPr>
        <w:t xml:space="preserve">omparing legal rights on an international basis is challenging. To address this challenge, the right to </w:t>
      </w:r>
      <w:r w:rsidR="000350F6">
        <w:rPr>
          <w:rFonts w:asciiTheme="majorBidi" w:hAnsiTheme="majorBidi" w:cstheme="majorBidi"/>
        </w:rPr>
        <w:t>LTSC</w:t>
      </w:r>
      <w:r w:rsidR="00DC6D2A">
        <w:rPr>
          <w:rFonts w:asciiTheme="majorBidi" w:hAnsiTheme="majorBidi" w:cstheme="majorBidi"/>
        </w:rPr>
        <w:t xml:space="preserve"> services </w:t>
      </w:r>
      <w:r w:rsidR="00301E92">
        <w:rPr>
          <w:rFonts w:asciiTheme="majorBidi" w:hAnsiTheme="majorBidi" w:cstheme="majorBidi"/>
        </w:rPr>
        <w:t>has been measured using the International Older Persons Human Rights Index (</w:t>
      </w:r>
      <w:r w:rsidR="000D48B2">
        <w:rPr>
          <w:rFonts w:asciiTheme="majorBidi" w:hAnsiTheme="majorBidi" w:cstheme="majorBidi"/>
        </w:rPr>
        <w:t>I</w:t>
      </w:r>
      <w:r w:rsidR="00301E92">
        <w:rPr>
          <w:rFonts w:asciiTheme="majorBidi" w:hAnsiTheme="majorBidi" w:cstheme="majorBidi"/>
        </w:rPr>
        <w:t>IOPHRI) developed by (Spanier &amp; Doron, 2016)</w:t>
      </w:r>
      <w:r w:rsidR="0048287A">
        <w:rPr>
          <w:rFonts w:asciiTheme="majorBidi" w:hAnsiTheme="majorBidi" w:cstheme="majorBidi"/>
        </w:rPr>
        <w:t xml:space="preserve">, focusing on </w:t>
      </w:r>
      <w:r w:rsidR="00805128">
        <w:rPr>
          <w:rFonts w:asciiTheme="majorBidi" w:hAnsiTheme="majorBidi" w:cstheme="majorBidi"/>
        </w:rPr>
        <w:t>3 specific legal spheres (Cox and Doron, 2018)</w:t>
      </w:r>
      <w:r w:rsidR="0048287A">
        <w:rPr>
          <w:rFonts w:asciiTheme="majorBidi" w:hAnsiTheme="majorBidi" w:cstheme="majorBidi"/>
        </w:rPr>
        <w:t>.</w:t>
      </w:r>
      <w:r w:rsidR="00805128">
        <w:rPr>
          <w:rFonts w:asciiTheme="majorBidi" w:hAnsiTheme="majorBidi" w:cstheme="majorBidi"/>
        </w:rPr>
        <w:t xml:space="preserve"> </w:t>
      </w:r>
    </w:p>
    <w:p w14:paraId="223A512D" w14:textId="06C660CB" w:rsidR="00805128" w:rsidRDefault="00805128" w:rsidP="00221BB7">
      <w:pPr>
        <w:spacing w:line="480" w:lineRule="auto"/>
      </w:pPr>
      <w:r>
        <w:t>Is there legislative recognition to the rights to LTS</w:t>
      </w:r>
      <w:r w:rsidR="00021EBB">
        <w:t>C</w:t>
      </w:r>
      <w:r>
        <w:t xml:space="preserve"> </w:t>
      </w:r>
      <w:r w:rsidR="00221BB7">
        <w:t xml:space="preserve">(1) </w:t>
      </w:r>
      <w:r>
        <w:t>in the community</w:t>
      </w:r>
      <w:r w:rsidR="00221BB7">
        <w:t>, (2)</w:t>
      </w:r>
      <w:r>
        <w:t xml:space="preserve"> in institutions</w:t>
      </w:r>
      <w:r w:rsidR="00221BB7">
        <w:t xml:space="preserve"> and (3)</w:t>
      </w:r>
      <w:r>
        <w:t xml:space="preserve"> of informal caregivers who provide LTS</w:t>
      </w:r>
      <w:r w:rsidR="00021EBB">
        <w:t>C</w:t>
      </w:r>
      <w:r>
        <w:t>?</w:t>
      </w:r>
    </w:p>
    <w:p w14:paraId="1759F9ED" w14:textId="604CF380" w:rsidR="0048287A" w:rsidRDefault="005F6121" w:rsidP="0048287A">
      <w:pPr>
        <w:spacing w:line="480" w:lineRule="auto"/>
        <w:ind w:left="540"/>
        <w:jc w:val="both"/>
        <w:rPr>
          <w:rFonts w:ascii="Times New Roman" w:hAnsi="Times New Roman"/>
        </w:rPr>
      </w:pPr>
      <w:r>
        <w:rPr>
          <w:rFonts w:ascii="Times New Roman" w:hAnsi="Times New Roman"/>
        </w:rPr>
        <w:t xml:space="preserve">Responses are </w:t>
      </w:r>
      <w:r w:rsidR="00805128" w:rsidRPr="00805128">
        <w:rPr>
          <w:rFonts w:ascii="Times New Roman" w:hAnsi="Times New Roman"/>
        </w:rPr>
        <w:t xml:space="preserve">operationalized </w:t>
      </w:r>
      <w:r w:rsidR="0048287A">
        <w:rPr>
          <w:rFonts w:ascii="Times New Roman" w:hAnsi="Times New Roman"/>
        </w:rPr>
        <w:t>as follows:</w:t>
      </w:r>
      <w:r w:rsidR="00805128" w:rsidRPr="00805128">
        <w:rPr>
          <w:rFonts w:ascii="Times New Roman" w:hAnsi="Times New Roman"/>
        </w:rPr>
        <w:t xml:space="preserve"> </w:t>
      </w:r>
    </w:p>
    <w:p w14:paraId="20FF1861" w14:textId="1CC54CC2" w:rsidR="00805128" w:rsidRPr="00805128" w:rsidRDefault="00805128" w:rsidP="00221BB7">
      <w:pPr>
        <w:spacing w:line="480" w:lineRule="auto"/>
        <w:ind w:left="1800"/>
        <w:jc w:val="both"/>
        <w:rPr>
          <w:rFonts w:ascii="Times New Roman" w:hAnsi="Times New Roman"/>
        </w:rPr>
      </w:pPr>
      <w:r w:rsidRPr="00805128">
        <w:rPr>
          <w:rFonts w:ascii="Times New Roman" w:hAnsi="Times New Roman"/>
          <w:u w:val="single"/>
        </w:rPr>
        <w:t>0 – No Legislation</w:t>
      </w:r>
      <w:r w:rsidRPr="00805128">
        <w:rPr>
          <w:rFonts w:ascii="Times New Roman" w:hAnsi="Times New Roman"/>
        </w:rPr>
        <w:t xml:space="preserve">: </w:t>
      </w:r>
      <w:r w:rsidR="00A30F48">
        <w:rPr>
          <w:rFonts w:ascii="Times New Roman" w:hAnsi="Times New Roman"/>
        </w:rPr>
        <w:t>N</w:t>
      </w:r>
      <w:r w:rsidRPr="00805128">
        <w:rPr>
          <w:rFonts w:ascii="Times New Roman" w:hAnsi="Times New Roman"/>
        </w:rPr>
        <w:t>o direct and/or indirect legislation/statutes in this field of legal rights in the country (e.g. no legislation at all</w:t>
      </w:r>
      <w:r w:rsidR="00221BB7">
        <w:rPr>
          <w:rFonts w:ascii="Times New Roman" w:hAnsi="Times New Roman"/>
        </w:rPr>
        <w:t xml:space="preserve"> concerning</w:t>
      </w:r>
      <w:r w:rsidRPr="00805128">
        <w:rPr>
          <w:rFonts w:ascii="Times New Roman" w:hAnsi="Times New Roman"/>
        </w:rPr>
        <w:t xml:space="preserve"> community-based LTSC); </w:t>
      </w:r>
    </w:p>
    <w:p w14:paraId="1F1B829B" w14:textId="7663034B" w:rsidR="005F6121" w:rsidRPr="005F6121" w:rsidRDefault="00221BB7" w:rsidP="005F6121">
      <w:pPr>
        <w:pStyle w:val="ListParagraph"/>
        <w:numPr>
          <w:ilvl w:val="0"/>
          <w:numId w:val="3"/>
        </w:numPr>
        <w:spacing w:line="480" w:lineRule="auto"/>
      </w:pPr>
      <w:r>
        <w:rPr>
          <w:rFonts w:ascii="Times New Roman" w:hAnsi="Times New Roman"/>
          <w:u w:val="single"/>
        </w:rPr>
        <w:lastRenderedPageBreak/>
        <w:t>1 – Right exist</w:t>
      </w:r>
      <w:r w:rsidR="00805128" w:rsidRPr="00805128">
        <w:rPr>
          <w:rFonts w:ascii="Times New Roman" w:hAnsi="Times New Roman"/>
          <w:u w:val="single"/>
        </w:rPr>
        <w:t xml:space="preserve"> with significant or major formal limitation: </w:t>
      </w:r>
      <w:r w:rsidR="00A30F48">
        <w:rPr>
          <w:rFonts w:ascii="Times New Roman" w:hAnsi="Times New Roman"/>
        </w:rPr>
        <w:t>S</w:t>
      </w:r>
      <w:r>
        <w:rPr>
          <w:rFonts w:ascii="Times New Roman" w:hAnsi="Times New Roman"/>
        </w:rPr>
        <w:t xml:space="preserve">ome direct and/or </w:t>
      </w:r>
      <w:r w:rsidR="00805128" w:rsidRPr="00805128">
        <w:rPr>
          <w:rFonts w:ascii="Times New Roman" w:hAnsi="Times New Roman"/>
        </w:rPr>
        <w:t>indirect reference to the rights in existing legislation, however</w:t>
      </w:r>
      <w:r>
        <w:rPr>
          <w:rFonts w:ascii="Times New Roman" w:hAnsi="Times New Roman"/>
        </w:rPr>
        <w:t>, it</w:t>
      </w:r>
      <w:r w:rsidR="00805128" w:rsidRPr="00805128">
        <w:rPr>
          <w:rFonts w:ascii="Times New Roman" w:hAnsi="Times New Roman"/>
        </w:rPr>
        <w:t xml:space="preserve"> is limited</w:t>
      </w:r>
      <w:r>
        <w:rPr>
          <w:rFonts w:ascii="Times New Roman" w:hAnsi="Times New Roman"/>
        </w:rPr>
        <w:t>; th</w:t>
      </w:r>
      <w:r w:rsidR="00805128" w:rsidRPr="00805128">
        <w:rPr>
          <w:rFonts w:ascii="Times New Roman" w:hAnsi="Times New Roman"/>
        </w:rPr>
        <w:t>ere are significant exemptions</w:t>
      </w:r>
      <w:r>
        <w:rPr>
          <w:rFonts w:ascii="Times New Roman" w:hAnsi="Times New Roman"/>
        </w:rPr>
        <w:t>;</w:t>
      </w:r>
      <w:r w:rsidR="00805128" w:rsidRPr="00805128">
        <w:rPr>
          <w:rFonts w:ascii="Times New Roman" w:hAnsi="Times New Roman"/>
        </w:rPr>
        <w:t xml:space="preserve"> there are significant</w:t>
      </w:r>
      <w:r>
        <w:rPr>
          <w:rFonts w:ascii="Times New Roman" w:hAnsi="Times New Roman"/>
        </w:rPr>
        <w:t xml:space="preserve"> legal barriers to fulfillment (e.g. </w:t>
      </w:r>
      <w:r w:rsidR="00805128" w:rsidRPr="00805128">
        <w:rPr>
          <w:rFonts w:ascii="Times New Roman" w:hAnsi="Times New Roman"/>
        </w:rPr>
        <w:t xml:space="preserve">there is legislation </w:t>
      </w:r>
      <w:r>
        <w:rPr>
          <w:rFonts w:ascii="Times New Roman" w:hAnsi="Times New Roman"/>
        </w:rPr>
        <w:t>but</w:t>
      </w:r>
      <w:r w:rsidR="00805128" w:rsidRPr="00805128">
        <w:rPr>
          <w:rFonts w:ascii="Times New Roman" w:hAnsi="Times New Roman"/>
        </w:rPr>
        <w:t xml:space="preserve"> it is conditioned on financial, individual and family based income</w:t>
      </w:r>
      <w:r w:rsidR="00A30F48">
        <w:rPr>
          <w:rFonts w:ascii="Times New Roman" w:hAnsi="Times New Roman"/>
        </w:rPr>
        <w:t xml:space="preserve"> </w:t>
      </w:r>
      <w:r w:rsidR="00DC6D2A">
        <w:rPr>
          <w:rFonts w:ascii="Times New Roman" w:hAnsi="Times New Roman"/>
        </w:rPr>
        <w:t>criteria.</w:t>
      </w:r>
    </w:p>
    <w:p w14:paraId="2398066C" w14:textId="1B64E347" w:rsidR="00805128" w:rsidRPr="00805128" w:rsidRDefault="00805128" w:rsidP="005F6121">
      <w:pPr>
        <w:pStyle w:val="ListParagraph"/>
        <w:numPr>
          <w:ilvl w:val="0"/>
          <w:numId w:val="4"/>
        </w:numPr>
        <w:spacing w:line="480" w:lineRule="auto"/>
        <w:rPr>
          <w:rFonts w:ascii="Times New Roman" w:hAnsi="Times New Roman"/>
          <w:u w:val="single"/>
        </w:rPr>
      </w:pPr>
      <w:r w:rsidRPr="00805128">
        <w:rPr>
          <w:rFonts w:ascii="Times New Roman" w:hAnsi="Times New Roman"/>
          <w:u w:val="single"/>
        </w:rPr>
        <w:t>2 - Right Exists with some formal limitation:</w:t>
      </w:r>
      <w:r w:rsidRPr="00805128">
        <w:rPr>
          <w:rFonts w:ascii="Times New Roman" w:hAnsi="Times New Roman"/>
        </w:rPr>
        <w:t xml:space="preserve"> </w:t>
      </w:r>
      <w:r w:rsidR="00A30F48">
        <w:rPr>
          <w:rFonts w:ascii="Times New Roman" w:hAnsi="Times New Roman"/>
        </w:rPr>
        <w:t>G</w:t>
      </w:r>
      <w:r w:rsidRPr="00805128">
        <w:rPr>
          <w:rFonts w:ascii="Times New Roman" w:hAnsi="Times New Roman"/>
        </w:rPr>
        <w:t xml:space="preserve">eneral and/or specific legislation </w:t>
      </w:r>
      <w:r w:rsidR="00DC6D2A">
        <w:rPr>
          <w:rFonts w:ascii="Times New Roman" w:hAnsi="Times New Roman"/>
        </w:rPr>
        <w:t xml:space="preserve">that </w:t>
      </w:r>
      <w:r w:rsidRPr="00805128">
        <w:rPr>
          <w:rFonts w:ascii="Times New Roman" w:hAnsi="Times New Roman"/>
        </w:rPr>
        <w:t>covers the</w:t>
      </w:r>
      <w:r w:rsidR="00A30F48">
        <w:rPr>
          <w:rFonts w:ascii="Times New Roman" w:hAnsi="Times New Roman"/>
        </w:rPr>
        <w:t>se</w:t>
      </w:r>
      <w:r w:rsidR="00221BB7">
        <w:rPr>
          <w:rFonts w:ascii="Times New Roman" w:hAnsi="Times New Roman"/>
        </w:rPr>
        <w:t xml:space="preserve"> legal rights, however,</w:t>
      </w:r>
      <w:r w:rsidRPr="00805128">
        <w:rPr>
          <w:rFonts w:ascii="Times New Roman" w:hAnsi="Times New Roman"/>
        </w:rPr>
        <w:t xml:space="preserve"> some formal/specific </w:t>
      </w:r>
      <w:r w:rsidR="00A30F48">
        <w:rPr>
          <w:rFonts w:ascii="Times New Roman" w:hAnsi="Times New Roman"/>
        </w:rPr>
        <w:t>restrictions</w:t>
      </w:r>
      <w:r w:rsidRPr="00805128">
        <w:rPr>
          <w:rFonts w:ascii="Times New Roman" w:hAnsi="Times New Roman"/>
        </w:rPr>
        <w:t xml:space="preserve"> on these rights exi</w:t>
      </w:r>
      <w:r w:rsidR="00DC6D2A">
        <w:rPr>
          <w:rFonts w:ascii="Times New Roman" w:hAnsi="Times New Roman"/>
        </w:rPr>
        <w:t>s</w:t>
      </w:r>
      <w:r w:rsidRPr="00805128">
        <w:rPr>
          <w:rFonts w:ascii="Times New Roman" w:hAnsi="Times New Roman"/>
        </w:rPr>
        <w:t xml:space="preserve">t </w:t>
      </w:r>
      <w:r w:rsidR="000C7C0D">
        <w:rPr>
          <w:rFonts w:ascii="Times New Roman" w:hAnsi="Times New Roman"/>
        </w:rPr>
        <w:t>limiting</w:t>
      </w:r>
      <w:r w:rsidRPr="00805128">
        <w:rPr>
          <w:rFonts w:ascii="Times New Roman" w:hAnsi="Times New Roman"/>
        </w:rPr>
        <w:t xml:space="preserve"> their scope (</w:t>
      </w:r>
      <w:r w:rsidR="00AC3F2C">
        <w:rPr>
          <w:rFonts w:ascii="Times New Roman" w:hAnsi="Times New Roman"/>
        </w:rPr>
        <w:t>e.g. a</w:t>
      </w:r>
      <w:r w:rsidR="00221BB7">
        <w:rPr>
          <w:rFonts w:ascii="Times New Roman" w:hAnsi="Times New Roman"/>
        </w:rPr>
        <w:t xml:space="preserve"> law provides co</w:t>
      </w:r>
      <w:r w:rsidRPr="00805128">
        <w:rPr>
          <w:rFonts w:ascii="Times New Roman" w:hAnsi="Times New Roman"/>
        </w:rPr>
        <w:t xml:space="preserve">mmunity-based long term care services, but the scope </w:t>
      </w:r>
      <w:r w:rsidR="00221BB7">
        <w:rPr>
          <w:rFonts w:ascii="Times New Roman" w:hAnsi="Times New Roman"/>
        </w:rPr>
        <w:t>and choice of services is limited).</w:t>
      </w:r>
    </w:p>
    <w:p w14:paraId="1A3B253E" w14:textId="7FE60020" w:rsidR="00805128" w:rsidRPr="00805128" w:rsidRDefault="00805128" w:rsidP="005F6121">
      <w:pPr>
        <w:pStyle w:val="ListParagraph"/>
        <w:numPr>
          <w:ilvl w:val="0"/>
          <w:numId w:val="4"/>
        </w:numPr>
        <w:spacing w:line="480" w:lineRule="auto"/>
        <w:rPr>
          <w:rFonts w:asciiTheme="majorBidi" w:hAnsiTheme="majorBidi" w:cstheme="majorBidi"/>
        </w:rPr>
      </w:pPr>
      <w:r w:rsidRPr="00805128">
        <w:rPr>
          <w:rFonts w:ascii="Times New Roman" w:hAnsi="Times New Roman"/>
          <w:u w:val="single"/>
        </w:rPr>
        <w:t>3 – Right Fully Exi</w:t>
      </w:r>
      <w:r w:rsidR="000C7C0D">
        <w:rPr>
          <w:rFonts w:ascii="Times New Roman" w:hAnsi="Times New Roman"/>
          <w:u w:val="single"/>
        </w:rPr>
        <w:t>s</w:t>
      </w:r>
      <w:r w:rsidRPr="00805128">
        <w:rPr>
          <w:rFonts w:ascii="Times New Roman" w:hAnsi="Times New Roman"/>
          <w:u w:val="single"/>
        </w:rPr>
        <w:t>ts:</w:t>
      </w:r>
      <w:r w:rsidRPr="00805128">
        <w:rPr>
          <w:rFonts w:ascii="Times New Roman" w:hAnsi="Times New Roman"/>
        </w:rPr>
        <w:t xml:space="preserve"> </w:t>
      </w:r>
      <w:r w:rsidR="00A30F48">
        <w:rPr>
          <w:rFonts w:ascii="Times New Roman" w:hAnsi="Times New Roman"/>
        </w:rPr>
        <w:t>D</w:t>
      </w:r>
      <w:r w:rsidRPr="00805128">
        <w:rPr>
          <w:rFonts w:ascii="Times New Roman" w:hAnsi="Times New Roman"/>
        </w:rPr>
        <w:t xml:space="preserve">irect and/or specific legislation </w:t>
      </w:r>
      <w:r w:rsidR="000C7C0D">
        <w:rPr>
          <w:rFonts w:ascii="Times New Roman" w:hAnsi="Times New Roman"/>
        </w:rPr>
        <w:t>that</w:t>
      </w:r>
      <w:r w:rsidRPr="00805128">
        <w:rPr>
          <w:rFonts w:ascii="Times New Roman" w:hAnsi="Times New Roman"/>
        </w:rPr>
        <w:t xml:space="preserve"> fully covers the legal rights</w:t>
      </w:r>
      <w:r w:rsidR="00CF2FD8">
        <w:rPr>
          <w:rFonts w:ascii="Times New Roman" w:hAnsi="Times New Roman"/>
        </w:rPr>
        <w:t xml:space="preserve"> </w:t>
      </w:r>
      <w:r w:rsidR="00221BB7">
        <w:rPr>
          <w:rFonts w:ascii="Times New Roman" w:hAnsi="Times New Roman"/>
        </w:rPr>
        <w:t xml:space="preserve">(e.g. </w:t>
      </w:r>
      <w:r w:rsidRPr="00805128">
        <w:rPr>
          <w:rFonts w:ascii="Times New Roman" w:hAnsi="Times New Roman"/>
        </w:rPr>
        <w:t>without a needs-based or family-responsibility conditionality).</w:t>
      </w:r>
    </w:p>
    <w:p w14:paraId="53693152" w14:textId="5BF5B240" w:rsidR="00184018" w:rsidRDefault="0048287A" w:rsidP="00184018">
      <w:pPr>
        <w:spacing w:line="480" w:lineRule="auto"/>
        <w:ind w:left="630" w:firstLine="90"/>
        <w:rPr>
          <w:rFonts w:ascii="Times New Roman" w:hAnsi="Times New Roman" w:cs="Times New Roman"/>
        </w:rPr>
      </w:pPr>
      <w:r>
        <w:rPr>
          <w:rFonts w:asciiTheme="majorBidi" w:hAnsiTheme="majorBidi" w:cstheme="majorBidi"/>
        </w:rPr>
        <w:t xml:space="preserve">Using this scale, </w:t>
      </w:r>
      <w:r w:rsidR="00A30F48">
        <w:rPr>
          <w:rFonts w:asciiTheme="majorBidi" w:hAnsiTheme="majorBidi" w:cstheme="majorBidi"/>
        </w:rPr>
        <w:t>LTSC</w:t>
      </w:r>
      <w:r w:rsidR="000C7C0D">
        <w:rPr>
          <w:rFonts w:asciiTheme="majorBidi" w:hAnsiTheme="majorBidi" w:cstheme="majorBidi"/>
        </w:rPr>
        <w:t xml:space="preserve"> </w:t>
      </w:r>
      <w:r>
        <w:rPr>
          <w:rFonts w:asciiTheme="majorBidi" w:hAnsiTheme="majorBidi" w:cstheme="majorBidi"/>
        </w:rPr>
        <w:t>ha</w:t>
      </w:r>
      <w:r w:rsidR="001E7CC2">
        <w:rPr>
          <w:rFonts w:asciiTheme="majorBidi" w:hAnsiTheme="majorBidi" w:cstheme="majorBidi"/>
        </w:rPr>
        <w:t>s</w:t>
      </w:r>
      <w:r>
        <w:rPr>
          <w:rFonts w:asciiTheme="majorBidi" w:hAnsiTheme="majorBidi" w:cstheme="majorBidi"/>
        </w:rPr>
        <w:t xml:space="preserve"> been compared in </w:t>
      </w:r>
      <w:r w:rsidR="00184018">
        <w:rPr>
          <w:rFonts w:asciiTheme="majorBidi" w:hAnsiTheme="majorBidi" w:cstheme="majorBidi"/>
        </w:rPr>
        <w:t xml:space="preserve">a sample of </w:t>
      </w:r>
      <w:r>
        <w:rPr>
          <w:rFonts w:asciiTheme="majorBidi" w:hAnsiTheme="majorBidi" w:cstheme="majorBidi"/>
        </w:rPr>
        <w:t xml:space="preserve">10 countries representing different geographic, political and social systems. </w:t>
      </w:r>
      <w:r w:rsidR="00221BB7">
        <w:rPr>
          <w:rFonts w:ascii="Times New Roman" w:hAnsi="Times New Roman" w:cs="Times New Roman"/>
        </w:rPr>
        <w:t>Fi</w:t>
      </w:r>
      <w:r w:rsidR="00184018" w:rsidRPr="00CF2FD8">
        <w:rPr>
          <w:rFonts w:ascii="Times New Roman" w:hAnsi="Times New Roman" w:cs="Times New Roman"/>
        </w:rPr>
        <w:t xml:space="preserve">ndings reveal that </w:t>
      </w:r>
      <w:r w:rsidR="00221BB7">
        <w:rPr>
          <w:rFonts w:ascii="Times New Roman" w:hAnsi="Times New Roman" w:cs="Times New Roman"/>
        </w:rPr>
        <w:t>only</w:t>
      </w:r>
      <w:r w:rsidR="00184018" w:rsidRPr="00CF2FD8">
        <w:rPr>
          <w:rFonts w:ascii="Times New Roman" w:hAnsi="Times New Roman" w:cs="Times New Roman"/>
        </w:rPr>
        <w:t xml:space="preserve"> Australia, Germany, Japan and Israel, have established accessible comprehensive long term care programs that range from caregiver supports to institutional care.  Ireland and Poland offer services including caregiver supports with some restrictions, Chile’s programs </w:t>
      </w:r>
      <w:r w:rsidR="00221BB7">
        <w:rPr>
          <w:rFonts w:ascii="Times New Roman" w:hAnsi="Times New Roman" w:cs="Times New Roman"/>
        </w:rPr>
        <w:t>f</w:t>
      </w:r>
      <w:r w:rsidR="00184018" w:rsidRPr="00CF2FD8">
        <w:rPr>
          <w:rFonts w:ascii="Times New Roman" w:hAnsi="Times New Roman" w:cs="Times New Roman"/>
        </w:rPr>
        <w:t>ocus on the most vulnerable country</w:t>
      </w:r>
      <w:r w:rsidR="00221BB7">
        <w:rPr>
          <w:rFonts w:ascii="Times New Roman" w:hAnsi="Times New Roman" w:cs="Times New Roman"/>
        </w:rPr>
        <w:t xml:space="preserve"> and only in certain regions.</w:t>
      </w:r>
      <w:r w:rsidR="00184018" w:rsidRPr="00CF2FD8">
        <w:rPr>
          <w:rFonts w:ascii="Times New Roman" w:hAnsi="Times New Roman" w:cs="Times New Roman"/>
        </w:rPr>
        <w:t xml:space="preserve"> Greece offers caregiver support and services but is unable to meet population needs</w:t>
      </w:r>
      <w:r w:rsidR="00F0059A" w:rsidRPr="00CF2FD8">
        <w:rPr>
          <w:rFonts w:ascii="Times New Roman" w:hAnsi="Times New Roman" w:cs="Times New Roman"/>
        </w:rPr>
        <w:t xml:space="preserve"> either in the community or in institutions.</w:t>
      </w:r>
      <w:r w:rsidR="00221BB7">
        <w:rPr>
          <w:rFonts w:ascii="Times New Roman" w:hAnsi="Times New Roman" w:cs="Times New Roman"/>
        </w:rPr>
        <w:t xml:space="preserve"> Both India and Nigeria </w:t>
      </w:r>
      <w:r w:rsidR="00F0059A" w:rsidRPr="00CF2FD8">
        <w:rPr>
          <w:rFonts w:ascii="Times New Roman" w:hAnsi="Times New Roman" w:cs="Times New Roman"/>
        </w:rPr>
        <w:t>rely on family care with minimal formal services and insufficient institutional care.</w:t>
      </w:r>
    </w:p>
    <w:p w14:paraId="3FBA778F" w14:textId="12F893DA" w:rsidR="00221BB7" w:rsidRPr="00D60C56" w:rsidRDefault="00221BB7" w:rsidP="00221BB7">
      <w:pPr>
        <w:spacing w:line="480" w:lineRule="auto"/>
        <w:ind w:left="630" w:firstLine="90"/>
        <w:rPr>
          <w:rFonts w:ascii="Times New Roman" w:hAnsi="Times New Roman" w:cs="Times New Roman"/>
        </w:rPr>
      </w:pPr>
      <w:r w:rsidRPr="00CF2FD8">
        <w:rPr>
          <w:rFonts w:ascii="Times New Roman" w:hAnsi="Times New Roman" w:cs="Times New Roman"/>
        </w:rPr>
        <w:lastRenderedPageBreak/>
        <w:t>4, Australia, Germany, Japan and Israel, have established accessible comprehensive long term care programs that range from caregiver supports to institutional care.  Ireland and Poland offer services including caregiver supports with some restrictions, Chile’s programs focus on the most vulnerable and are not dispersed throughout the country, Greece offers caregiver support and services but is unable to meet population needs for services either in the community or in institutions. Both India and Nigeria tend to rely on family care with minimal formal services and insufficient institutional care.</w:t>
      </w:r>
    </w:p>
    <w:p w14:paraId="304E7E01" w14:textId="2E6F8619" w:rsidR="001848C0" w:rsidRPr="000D48B2" w:rsidRDefault="00F0059A" w:rsidP="00221BB7">
      <w:pPr>
        <w:spacing w:line="480" w:lineRule="auto"/>
        <w:ind w:left="720" w:firstLine="720"/>
        <w:rPr>
          <w:rFonts w:ascii="Times New Roman" w:hAnsi="Times New Roman" w:cs="Times New Roman"/>
          <w:b/>
        </w:rPr>
      </w:pPr>
      <w:r w:rsidRPr="00CF2FD8">
        <w:rPr>
          <w:rFonts w:ascii="Times New Roman" w:hAnsi="Times New Roman" w:cs="Times New Roman"/>
        </w:rPr>
        <w:t>Overall, there is an absence</w:t>
      </w:r>
      <w:r w:rsidR="00221BB7">
        <w:rPr>
          <w:rFonts w:ascii="Times New Roman" w:hAnsi="Times New Roman" w:cs="Times New Roman"/>
        </w:rPr>
        <w:t xml:space="preserve"> </w:t>
      </w:r>
      <w:r w:rsidRPr="00CF2FD8">
        <w:rPr>
          <w:rFonts w:ascii="Times New Roman" w:hAnsi="Times New Roman" w:cs="Times New Roman"/>
        </w:rPr>
        <w:t xml:space="preserve">of </w:t>
      </w:r>
      <w:r w:rsidR="00CF2FD8">
        <w:rPr>
          <w:rFonts w:ascii="Times New Roman" w:hAnsi="Times New Roman" w:cs="Times New Roman"/>
        </w:rPr>
        <w:t xml:space="preserve">LTSC legislation </w:t>
      </w:r>
      <w:r w:rsidRPr="00CF2FD8">
        <w:rPr>
          <w:rFonts w:ascii="Times New Roman" w:hAnsi="Times New Roman" w:cs="Times New Roman"/>
        </w:rPr>
        <w:t xml:space="preserve">and there is no common </w:t>
      </w:r>
      <w:r w:rsidR="00021EBB" w:rsidRPr="00CF2FD8">
        <w:rPr>
          <w:rFonts w:ascii="Times New Roman" w:hAnsi="Times New Roman" w:cs="Times New Roman"/>
        </w:rPr>
        <w:t xml:space="preserve">human-rights-based </w:t>
      </w:r>
      <w:r w:rsidRPr="00CF2FD8">
        <w:rPr>
          <w:rFonts w:ascii="Times New Roman" w:hAnsi="Times New Roman" w:cs="Times New Roman"/>
        </w:rPr>
        <w:t>standard of how it should be</w:t>
      </w:r>
      <w:r w:rsidR="00596873">
        <w:rPr>
          <w:rFonts w:ascii="Times New Roman" w:hAnsi="Times New Roman" w:cs="Times New Roman"/>
        </w:rPr>
        <w:t xml:space="preserve"> enacted</w:t>
      </w:r>
      <w:r w:rsidRPr="00CF2FD8">
        <w:rPr>
          <w:rFonts w:ascii="Times New Roman" w:hAnsi="Times New Roman" w:cs="Times New Roman"/>
        </w:rPr>
        <w:t xml:space="preserve">, </w:t>
      </w:r>
      <w:r w:rsidR="00A30F48">
        <w:rPr>
          <w:rFonts w:ascii="Times New Roman" w:hAnsi="Times New Roman" w:cs="Times New Roman"/>
        </w:rPr>
        <w:t xml:space="preserve">e.g. </w:t>
      </w:r>
      <w:r w:rsidRPr="000D48B2">
        <w:rPr>
          <w:rFonts w:ascii="Times New Roman" w:hAnsi="Times New Roman" w:cs="Times New Roman"/>
        </w:rPr>
        <w:t xml:space="preserve">a single comprehensive law or part of a social security scheme. It is not clear if each </w:t>
      </w:r>
      <w:r w:rsidR="00A30F48" w:rsidRPr="00A30F48">
        <w:rPr>
          <w:rFonts w:ascii="Times New Roman" w:hAnsi="Times New Roman" w:cs="Times New Roman"/>
        </w:rPr>
        <w:t>aspect of LTSC</w:t>
      </w:r>
      <w:r w:rsidRPr="000D48B2">
        <w:rPr>
          <w:rFonts w:ascii="Times New Roman" w:hAnsi="Times New Roman" w:cs="Times New Roman"/>
        </w:rPr>
        <w:t xml:space="preserve"> should be a separate right </w:t>
      </w:r>
      <w:r w:rsidR="00CF2FD8">
        <w:rPr>
          <w:rFonts w:ascii="Times New Roman" w:hAnsi="Times New Roman" w:cs="Times New Roman"/>
        </w:rPr>
        <w:t xml:space="preserve">or </w:t>
      </w:r>
      <w:r w:rsidR="000D48B2">
        <w:rPr>
          <w:rFonts w:ascii="Times New Roman" w:hAnsi="Times New Roman" w:cs="Times New Roman"/>
        </w:rPr>
        <w:t xml:space="preserve">if the rights should be distributed </w:t>
      </w:r>
      <w:r w:rsidR="00CF2FD8">
        <w:rPr>
          <w:rFonts w:ascii="Times New Roman" w:hAnsi="Times New Roman" w:cs="Times New Roman"/>
        </w:rPr>
        <w:t xml:space="preserve">among </w:t>
      </w:r>
      <w:r w:rsidRPr="000D48B2">
        <w:rPr>
          <w:rFonts w:ascii="Times New Roman" w:hAnsi="Times New Roman" w:cs="Times New Roman"/>
        </w:rPr>
        <w:t>home and community services</w:t>
      </w:r>
      <w:r w:rsidR="000C7C0D" w:rsidRPr="000D48B2">
        <w:rPr>
          <w:rFonts w:ascii="Times New Roman" w:hAnsi="Times New Roman" w:cs="Times New Roman"/>
        </w:rPr>
        <w:t xml:space="preserve"> and institutional care</w:t>
      </w:r>
      <w:r w:rsidRPr="000D48B2">
        <w:rPr>
          <w:rFonts w:ascii="Times New Roman" w:hAnsi="Times New Roman" w:cs="Times New Roman"/>
        </w:rPr>
        <w:t>. Th</w:t>
      </w:r>
      <w:r w:rsidR="000D48B2">
        <w:rPr>
          <w:rFonts w:ascii="Times New Roman" w:hAnsi="Times New Roman" w:cs="Times New Roman"/>
        </w:rPr>
        <w:t>is</w:t>
      </w:r>
      <w:r w:rsidRPr="00CF2FD8">
        <w:rPr>
          <w:rFonts w:ascii="Times New Roman" w:hAnsi="Times New Roman" w:cs="Times New Roman"/>
        </w:rPr>
        <w:t xml:space="preserve"> </w:t>
      </w:r>
      <w:r w:rsidR="002018BF">
        <w:rPr>
          <w:rFonts w:ascii="Times New Roman" w:hAnsi="Times New Roman" w:cs="Times New Roman"/>
        </w:rPr>
        <w:t>omission</w:t>
      </w:r>
      <w:r w:rsidRPr="000D48B2">
        <w:rPr>
          <w:rFonts w:ascii="Times New Roman" w:hAnsi="Times New Roman" w:cs="Times New Roman"/>
        </w:rPr>
        <w:t xml:space="preserve"> may</w:t>
      </w:r>
      <w:r w:rsidR="002018BF">
        <w:rPr>
          <w:rFonts w:ascii="Times New Roman" w:hAnsi="Times New Roman" w:cs="Times New Roman"/>
        </w:rPr>
        <w:t xml:space="preserve"> </w:t>
      </w:r>
      <w:r w:rsidRPr="000D48B2">
        <w:rPr>
          <w:rFonts w:ascii="Times New Roman" w:hAnsi="Times New Roman" w:cs="Times New Roman"/>
        </w:rPr>
        <w:t xml:space="preserve">be partially explained by a tendency to medicalize long term care placing </w:t>
      </w:r>
      <w:r w:rsidR="00312BA0" w:rsidRPr="000D48B2">
        <w:rPr>
          <w:rFonts w:ascii="Times New Roman" w:hAnsi="Times New Roman" w:cs="Times New Roman"/>
        </w:rPr>
        <w:t xml:space="preserve">it </w:t>
      </w:r>
      <w:r w:rsidRPr="000D48B2">
        <w:rPr>
          <w:rFonts w:ascii="Times New Roman" w:hAnsi="Times New Roman" w:cs="Times New Roman"/>
        </w:rPr>
        <w:t>under the health care system and thus ignorin</w:t>
      </w:r>
      <w:r w:rsidR="00E629F8" w:rsidRPr="000D48B2">
        <w:rPr>
          <w:rFonts w:ascii="Times New Roman" w:hAnsi="Times New Roman" w:cs="Times New Roman"/>
        </w:rPr>
        <w:t>g the many support services that it encompasses.</w:t>
      </w:r>
    </w:p>
    <w:p w14:paraId="69F1B34C" w14:textId="77777777" w:rsidR="001848C0" w:rsidRPr="000D48B2" w:rsidRDefault="001848C0" w:rsidP="00F0059A">
      <w:pPr>
        <w:spacing w:line="480" w:lineRule="auto"/>
        <w:jc w:val="center"/>
        <w:rPr>
          <w:rFonts w:ascii="Times New Roman" w:hAnsi="Times New Roman" w:cs="Times New Roman"/>
          <w:b/>
        </w:rPr>
      </w:pPr>
    </w:p>
    <w:p w14:paraId="3C47AD57" w14:textId="6B52FE46" w:rsidR="00F0059A" w:rsidRPr="000D48B2" w:rsidRDefault="00F0059A" w:rsidP="00F0059A">
      <w:pPr>
        <w:spacing w:line="480" w:lineRule="auto"/>
        <w:jc w:val="center"/>
        <w:rPr>
          <w:rFonts w:ascii="Times New Roman" w:hAnsi="Times New Roman" w:cs="Times New Roman"/>
          <w:b/>
        </w:rPr>
      </w:pPr>
      <w:r w:rsidRPr="000D48B2">
        <w:rPr>
          <w:rFonts w:ascii="Times New Roman" w:hAnsi="Times New Roman" w:cs="Times New Roman"/>
          <w:b/>
        </w:rPr>
        <w:t>Table 1</w:t>
      </w:r>
    </w:p>
    <w:p w14:paraId="24D1C776" w14:textId="5EB8106D" w:rsidR="00F0059A" w:rsidRPr="000D48B2" w:rsidRDefault="00F0059A" w:rsidP="00F0059A">
      <w:pPr>
        <w:spacing w:line="480" w:lineRule="auto"/>
        <w:jc w:val="center"/>
        <w:rPr>
          <w:rFonts w:ascii="Times New Roman" w:hAnsi="Times New Roman" w:cs="Times New Roman"/>
          <w:b/>
        </w:rPr>
      </w:pPr>
      <w:r w:rsidRPr="000D48B2">
        <w:rPr>
          <w:rFonts w:ascii="Times New Roman" w:hAnsi="Times New Roman" w:cs="Times New Roman"/>
          <w:b/>
        </w:rPr>
        <w:t xml:space="preserve">Summary of Long Term Care as Applied to </w:t>
      </w:r>
      <w:r w:rsidR="00D277CC" w:rsidRPr="000D48B2">
        <w:rPr>
          <w:rFonts w:ascii="Times New Roman" w:hAnsi="Times New Roman" w:cs="Times New Roman"/>
          <w:b/>
        </w:rPr>
        <w:t>10</w:t>
      </w:r>
      <w:r w:rsidRPr="000D48B2">
        <w:rPr>
          <w:rFonts w:ascii="Times New Roman" w:hAnsi="Times New Roman" w:cs="Times New Roman"/>
          <w:b/>
        </w:rPr>
        <w:t xml:space="preserve"> Countries</w:t>
      </w:r>
    </w:p>
    <w:p w14:paraId="1EDDC014" w14:textId="77777777" w:rsidR="00F0059A" w:rsidRPr="000D48B2" w:rsidRDefault="00F0059A" w:rsidP="00F0059A">
      <w:pPr>
        <w:jc w:val="center"/>
        <w:rPr>
          <w:rFonts w:ascii="Times New Roman" w:hAnsi="Times New Roman" w:cs="Times New Roman"/>
        </w:rPr>
      </w:pPr>
    </w:p>
    <w:p w14:paraId="3C1E7A4F" w14:textId="77777777" w:rsidR="00F0059A" w:rsidRPr="000D48B2" w:rsidRDefault="00F0059A" w:rsidP="00F0059A">
      <w:pPr>
        <w:rPr>
          <w:rFonts w:ascii="Times New Roman" w:hAnsi="Times New Roman" w:cs="Times New Roman"/>
        </w:rPr>
      </w:pPr>
      <w:r w:rsidRPr="000D48B2">
        <w:rPr>
          <w:rFonts w:ascii="Times New Roman" w:hAnsi="Times New Roman" w:cs="Times New Roman"/>
        </w:rPr>
        <w:t>Country</w:t>
      </w:r>
      <w:r w:rsidRPr="000D48B2">
        <w:rPr>
          <w:rFonts w:ascii="Times New Roman" w:hAnsi="Times New Roman" w:cs="Times New Roman"/>
        </w:rPr>
        <w:tab/>
      </w:r>
      <w:r w:rsidRPr="000D48B2">
        <w:rPr>
          <w:rFonts w:ascii="Times New Roman" w:hAnsi="Times New Roman" w:cs="Times New Roman"/>
        </w:rPr>
        <w:tab/>
        <w:t>Family Support</w:t>
      </w:r>
      <w:r w:rsidRPr="000D48B2">
        <w:rPr>
          <w:rFonts w:ascii="Times New Roman" w:hAnsi="Times New Roman" w:cs="Times New Roman"/>
        </w:rPr>
        <w:tab/>
        <w:t>Home/Community Services</w:t>
      </w:r>
      <w:r w:rsidRPr="000D48B2">
        <w:rPr>
          <w:rFonts w:ascii="Times New Roman" w:hAnsi="Times New Roman" w:cs="Times New Roman"/>
        </w:rPr>
        <w:tab/>
      </w:r>
      <w:r w:rsidRPr="000D48B2">
        <w:rPr>
          <w:rFonts w:ascii="Times New Roman" w:hAnsi="Times New Roman" w:cs="Times New Roman"/>
        </w:rPr>
        <w:tab/>
        <w:t>Institutional</w:t>
      </w:r>
    </w:p>
    <w:p w14:paraId="784707A1" w14:textId="77777777" w:rsidR="00F0059A" w:rsidRPr="000D48B2" w:rsidRDefault="00F0059A" w:rsidP="00F0059A">
      <w:pPr>
        <w:jc w:val="center"/>
        <w:rPr>
          <w:rFonts w:ascii="Times New Roman" w:hAnsi="Times New Roman" w:cs="Times New Roman"/>
        </w:rPr>
      </w:pPr>
    </w:p>
    <w:p w14:paraId="57FCB102" w14:textId="565B1371" w:rsidR="00F0059A" w:rsidRPr="000D48B2" w:rsidRDefault="00F0059A" w:rsidP="00F0059A">
      <w:pPr>
        <w:spacing w:line="480" w:lineRule="auto"/>
        <w:rPr>
          <w:rFonts w:ascii="Times New Roman" w:hAnsi="Times New Roman" w:cs="Times New Roman"/>
        </w:rPr>
      </w:pPr>
      <w:r w:rsidRPr="000D48B2">
        <w:rPr>
          <w:rFonts w:ascii="Times New Roman" w:hAnsi="Times New Roman" w:cs="Times New Roman"/>
        </w:rPr>
        <w:t>Australia</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3</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3</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00D277CC" w:rsidRPr="000D48B2">
        <w:rPr>
          <w:rFonts w:ascii="Times New Roman" w:hAnsi="Times New Roman" w:cs="Times New Roman"/>
        </w:rPr>
        <w:t>1</w:t>
      </w:r>
    </w:p>
    <w:p w14:paraId="141F8DF1" w14:textId="77777777" w:rsidR="00F0059A" w:rsidRPr="000D48B2" w:rsidRDefault="00F0059A" w:rsidP="00F0059A">
      <w:pPr>
        <w:spacing w:line="480" w:lineRule="auto"/>
        <w:rPr>
          <w:rFonts w:ascii="Times New Roman" w:hAnsi="Times New Roman" w:cs="Times New Roman"/>
        </w:rPr>
      </w:pPr>
      <w:r w:rsidRPr="000D48B2">
        <w:rPr>
          <w:rFonts w:ascii="Times New Roman" w:hAnsi="Times New Roman" w:cs="Times New Roman"/>
        </w:rPr>
        <w:t>India</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2</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0</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0</w:t>
      </w:r>
    </w:p>
    <w:p w14:paraId="199525D4" w14:textId="77777777" w:rsidR="00F0059A" w:rsidRPr="000D48B2" w:rsidRDefault="00F0059A" w:rsidP="00F0059A">
      <w:pPr>
        <w:spacing w:line="480" w:lineRule="auto"/>
        <w:rPr>
          <w:rFonts w:ascii="Times New Roman" w:hAnsi="Times New Roman" w:cs="Times New Roman"/>
        </w:rPr>
      </w:pPr>
      <w:r w:rsidRPr="000D48B2">
        <w:rPr>
          <w:rFonts w:ascii="Times New Roman" w:hAnsi="Times New Roman" w:cs="Times New Roman"/>
        </w:rPr>
        <w:t>Ireland</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2</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2</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2</w:t>
      </w:r>
    </w:p>
    <w:p w14:paraId="09D8F03D" w14:textId="77777777" w:rsidR="00F0059A" w:rsidRPr="000D48B2" w:rsidRDefault="00F0059A" w:rsidP="00F0059A">
      <w:pPr>
        <w:spacing w:line="480" w:lineRule="auto"/>
        <w:rPr>
          <w:rFonts w:ascii="Times New Roman" w:hAnsi="Times New Roman" w:cs="Times New Roman"/>
        </w:rPr>
      </w:pPr>
      <w:r w:rsidRPr="000D48B2">
        <w:rPr>
          <w:rFonts w:ascii="Times New Roman" w:hAnsi="Times New Roman" w:cs="Times New Roman"/>
        </w:rPr>
        <w:t>Chile</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2</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1</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1</w:t>
      </w:r>
    </w:p>
    <w:p w14:paraId="62850CCE" w14:textId="77777777" w:rsidR="00F0059A" w:rsidRPr="000D48B2" w:rsidRDefault="00F0059A" w:rsidP="00F0059A">
      <w:pPr>
        <w:spacing w:line="480" w:lineRule="auto"/>
        <w:rPr>
          <w:rFonts w:ascii="Times New Roman" w:hAnsi="Times New Roman" w:cs="Times New Roman"/>
        </w:rPr>
      </w:pPr>
      <w:r w:rsidRPr="000D48B2">
        <w:rPr>
          <w:rFonts w:ascii="Times New Roman" w:hAnsi="Times New Roman" w:cs="Times New Roman"/>
        </w:rPr>
        <w:t>Germany</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3</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3</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3</w:t>
      </w:r>
    </w:p>
    <w:p w14:paraId="254920F7" w14:textId="77777777" w:rsidR="00F0059A" w:rsidRPr="000D48B2" w:rsidRDefault="00F0059A" w:rsidP="00F0059A">
      <w:pPr>
        <w:spacing w:line="480" w:lineRule="auto"/>
        <w:rPr>
          <w:rFonts w:ascii="Times New Roman" w:hAnsi="Times New Roman" w:cs="Times New Roman"/>
        </w:rPr>
      </w:pPr>
      <w:r w:rsidRPr="000D48B2">
        <w:rPr>
          <w:rFonts w:ascii="Times New Roman" w:hAnsi="Times New Roman" w:cs="Times New Roman"/>
        </w:rPr>
        <w:lastRenderedPageBreak/>
        <w:t>Poland</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2</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2</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2</w:t>
      </w:r>
    </w:p>
    <w:p w14:paraId="01826D50" w14:textId="77777777" w:rsidR="00F0059A" w:rsidRPr="000D48B2" w:rsidRDefault="00F0059A" w:rsidP="00F0059A">
      <w:pPr>
        <w:spacing w:line="480" w:lineRule="auto"/>
        <w:rPr>
          <w:rFonts w:ascii="Times New Roman" w:hAnsi="Times New Roman" w:cs="Times New Roman"/>
        </w:rPr>
      </w:pPr>
      <w:r w:rsidRPr="000D48B2">
        <w:rPr>
          <w:rFonts w:ascii="Times New Roman" w:hAnsi="Times New Roman" w:cs="Times New Roman"/>
        </w:rPr>
        <w:t>Japan</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3</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3</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3</w:t>
      </w:r>
    </w:p>
    <w:p w14:paraId="03A857C7" w14:textId="77777777" w:rsidR="00F0059A" w:rsidRPr="000D48B2" w:rsidRDefault="00F0059A" w:rsidP="00F0059A">
      <w:pPr>
        <w:spacing w:line="480" w:lineRule="auto"/>
        <w:rPr>
          <w:rFonts w:ascii="Times New Roman" w:hAnsi="Times New Roman" w:cs="Times New Roman"/>
        </w:rPr>
      </w:pPr>
      <w:r w:rsidRPr="000D48B2">
        <w:rPr>
          <w:rFonts w:ascii="Times New Roman" w:hAnsi="Times New Roman" w:cs="Times New Roman"/>
        </w:rPr>
        <w:t>Nigeria</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0</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0</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1</w:t>
      </w:r>
    </w:p>
    <w:p w14:paraId="6C3C2C3B" w14:textId="77777777" w:rsidR="00F0059A" w:rsidRPr="000D48B2" w:rsidRDefault="00F0059A" w:rsidP="00F0059A">
      <w:pPr>
        <w:spacing w:line="480" w:lineRule="auto"/>
        <w:rPr>
          <w:rFonts w:ascii="Times New Roman" w:hAnsi="Times New Roman" w:cs="Times New Roman"/>
        </w:rPr>
      </w:pPr>
      <w:r w:rsidRPr="000D48B2">
        <w:rPr>
          <w:rFonts w:ascii="Times New Roman" w:hAnsi="Times New Roman" w:cs="Times New Roman"/>
        </w:rPr>
        <w:t>Israel</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3</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3</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3</w:t>
      </w:r>
    </w:p>
    <w:p w14:paraId="5B79CEF2" w14:textId="77777777" w:rsidR="00F0059A" w:rsidRPr="000D48B2" w:rsidRDefault="00F0059A" w:rsidP="00F0059A">
      <w:pPr>
        <w:spacing w:line="480" w:lineRule="auto"/>
        <w:rPr>
          <w:rFonts w:ascii="Times New Roman" w:hAnsi="Times New Roman" w:cs="Times New Roman"/>
        </w:rPr>
      </w:pPr>
      <w:r w:rsidRPr="000D48B2">
        <w:rPr>
          <w:rFonts w:ascii="Times New Roman" w:hAnsi="Times New Roman" w:cs="Times New Roman"/>
        </w:rPr>
        <w:t>Greece</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0</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2</w:t>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r>
      <w:r w:rsidRPr="000D48B2">
        <w:rPr>
          <w:rFonts w:ascii="Times New Roman" w:hAnsi="Times New Roman" w:cs="Times New Roman"/>
        </w:rPr>
        <w:tab/>
        <w:t>1</w:t>
      </w:r>
    </w:p>
    <w:p w14:paraId="6B051013" w14:textId="77777777" w:rsidR="00F0059A" w:rsidRPr="000D48B2" w:rsidRDefault="00F0059A" w:rsidP="00F0059A">
      <w:pPr>
        <w:spacing w:line="480" w:lineRule="auto"/>
        <w:rPr>
          <w:rFonts w:ascii="Times New Roman" w:hAnsi="Times New Roman" w:cs="Times New Roman"/>
        </w:rPr>
      </w:pPr>
    </w:p>
    <w:p w14:paraId="64F6016E" w14:textId="27F5CF12" w:rsidR="005F6121" w:rsidRPr="000D48B2" w:rsidRDefault="005F6121" w:rsidP="005F6121">
      <w:pPr>
        <w:spacing w:line="480" w:lineRule="auto"/>
        <w:ind w:left="90" w:firstLine="630"/>
        <w:outlineLvl w:val="0"/>
        <w:rPr>
          <w:rFonts w:ascii="Times New Roman" w:hAnsi="Times New Roman" w:cs="Times New Roman"/>
        </w:rPr>
      </w:pPr>
      <w:r>
        <w:rPr>
          <w:rFonts w:ascii="Times New Roman" w:hAnsi="Times New Roman" w:cs="Times New Roman"/>
        </w:rPr>
        <w:t>LTSC is both humane and effective, maximizing the functioning of older people who risk impairments and ensuring their dignity while minimizing the burden on the family, the main care provider. Moreover, as it tends to be long term, focusing on reducing d</w:t>
      </w:r>
      <w:r w:rsidR="00221BB7">
        <w:rPr>
          <w:rFonts w:ascii="Times New Roman" w:hAnsi="Times New Roman" w:cs="Times New Roman"/>
        </w:rPr>
        <w:t xml:space="preserve">ependency and vulnerability, LTSC </w:t>
      </w:r>
      <w:r>
        <w:rPr>
          <w:rFonts w:ascii="Times New Roman" w:hAnsi="Times New Roman" w:cs="Times New Roman"/>
        </w:rPr>
        <w:t>should be considered separately from palliative care. In conclusion, IAGG recommends legislation that guarantees the rights of older people to LTSC that supports family, community and institutional care and thus contributes to the sustainable development of society as a whole.</w:t>
      </w:r>
    </w:p>
    <w:p w14:paraId="31675A0A" w14:textId="4CA1C3F5" w:rsidR="005F6121" w:rsidRPr="000D48B2" w:rsidRDefault="005F6121" w:rsidP="005F6121">
      <w:pPr>
        <w:spacing w:line="480" w:lineRule="auto"/>
        <w:ind w:left="90" w:firstLine="630"/>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A2759DA" w14:textId="77777777" w:rsidR="00805128" w:rsidRPr="000D48B2" w:rsidRDefault="00805128" w:rsidP="00805128">
      <w:pPr>
        <w:pStyle w:val="ListParagraph"/>
        <w:spacing w:line="480" w:lineRule="auto"/>
        <w:ind w:left="1800"/>
        <w:rPr>
          <w:rFonts w:ascii="Times New Roman" w:hAnsi="Times New Roman" w:cs="Times New Roman"/>
        </w:rPr>
      </w:pPr>
    </w:p>
    <w:sectPr w:rsidR="00805128" w:rsidRPr="000D48B2" w:rsidSect="00D23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dy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2205C"/>
    <w:multiLevelType w:val="hybridMultilevel"/>
    <w:tmpl w:val="3864CBB8"/>
    <w:lvl w:ilvl="0" w:tplc="5BDEDA36">
      <w:start w:val="1"/>
      <w:numFmt w:val="decimal"/>
      <w:lvlText w:val="%1)"/>
      <w:lvlJc w:val="left"/>
      <w:pPr>
        <w:ind w:left="1800" w:hanging="360"/>
      </w:pPr>
      <w:rPr>
        <w:rFonts w:asciiTheme="majorBidi" w:hAnsiTheme="majorBidi" w:cstheme="maj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C7B72F0"/>
    <w:multiLevelType w:val="hybridMultilevel"/>
    <w:tmpl w:val="C310C32A"/>
    <w:lvl w:ilvl="0" w:tplc="5BDEDA36">
      <w:start w:val="1"/>
      <w:numFmt w:val="decimal"/>
      <w:lvlText w:val="%1)"/>
      <w:lvlJc w:val="left"/>
      <w:pPr>
        <w:ind w:left="1800" w:hanging="360"/>
      </w:pPr>
      <w:rPr>
        <w:rFonts w:asciiTheme="majorBidi" w:hAnsiTheme="majorBidi" w:cstheme="maj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69C3E7B"/>
    <w:multiLevelType w:val="hybridMultilevel"/>
    <w:tmpl w:val="54E65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8E15F72"/>
    <w:multiLevelType w:val="hybridMultilevel"/>
    <w:tmpl w:val="3864CBB8"/>
    <w:lvl w:ilvl="0" w:tplc="5BDEDA36">
      <w:start w:val="1"/>
      <w:numFmt w:val="decimal"/>
      <w:lvlText w:val="%1)"/>
      <w:lvlJc w:val="left"/>
      <w:pPr>
        <w:ind w:left="1800" w:hanging="360"/>
      </w:pPr>
      <w:rPr>
        <w:rFonts w:asciiTheme="majorBidi" w:hAnsiTheme="majorBidi" w:cstheme="maj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C5"/>
    <w:rsid w:val="00003984"/>
    <w:rsid w:val="00021EBB"/>
    <w:rsid w:val="000350F6"/>
    <w:rsid w:val="000A32C7"/>
    <w:rsid w:val="000C6D25"/>
    <w:rsid w:val="000C7C0D"/>
    <w:rsid w:val="000D48B2"/>
    <w:rsid w:val="000F1A9E"/>
    <w:rsid w:val="001115E0"/>
    <w:rsid w:val="001264A8"/>
    <w:rsid w:val="00184018"/>
    <w:rsid w:val="001848C0"/>
    <w:rsid w:val="001E7CC2"/>
    <w:rsid w:val="002018BF"/>
    <w:rsid w:val="00221BB7"/>
    <w:rsid w:val="002766C1"/>
    <w:rsid w:val="00301E92"/>
    <w:rsid w:val="00312BA0"/>
    <w:rsid w:val="0034301A"/>
    <w:rsid w:val="003827C0"/>
    <w:rsid w:val="003E61B9"/>
    <w:rsid w:val="003E66B9"/>
    <w:rsid w:val="0043638C"/>
    <w:rsid w:val="0048287A"/>
    <w:rsid w:val="00595DB7"/>
    <w:rsid w:val="00596873"/>
    <w:rsid w:val="005F6121"/>
    <w:rsid w:val="006045FF"/>
    <w:rsid w:val="006C79A7"/>
    <w:rsid w:val="00702776"/>
    <w:rsid w:val="007A182A"/>
    <w:rsid w:val="00805128"/>
    <w:rsid w:val="00855765"/>
    <w:rsid w:val="008C37FF"/>
    <w:rsid w:val="008E24BD"/>
    <w:rsid w:val="009B3C9C"/>
    <w:rsid w:val="009E01E5"/>
    <w:rsid w:val="00A30F48"/>
    <w:rsid w:val="00AA6748"/>
    <w:rsid w:val="00AC3F2C"/>
    <w:rsid w:val="00AC4036"/>
    <w:rsid w:val="00AD2E15"/>
    <w:rsid w:val="00AD5806"/>
    <w:rsid w:val="00B55115"/>
    <w:rsid w:val="00BC531D"/>
    <w:rsid w:val="00C755EA"/>
    <w:rsid w:val="00CF2FD8"/>
    <w:rsid w:val="00D23DDE"/>
    <w:rsid w:val="00D277CC"/>
    <w:rsid w:val="00DC6D2A"/>
    <w:rsid w:val="00DC7064"/>
    <w:rsid w:val="00E629F8"/>
    <w:rsid w:val="00F0059A"/>
    <w:rsid w:val="00F53EC5"/>
    <w:rsid w:val="00F6190B"/>
    <w:rsid w:val="00FE0E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C51A"/>
  <w14:defaultImageDpi w14:val="32767"/>
  <w15:docId w15:val="{2EA7F920-4AE7-4EF6-8C99-99607EAF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128"/>
    <w:pPr>
      <w:ind w:left="720"/>
      <w:contextualSpacing/>
    </w:pPr>
  </w:style>
  <w:style w:type="character" w:styleId="CommentReference">
    <w:name w:val="annotation reference"/>
    <w:basedOn w:val="DefaultParagraphFont"/>
    <w:uiPriority w:val="99"/>
    <w:semiHidden/>
    <w:unhideWhenUsed/>
    <w:rsid w:val="00F0059A"/>
    <w:rPr>
      <w:sz w:val="16"/>
      <w:szCs w:val="16"/>
    </w:rPr>
  </w:style>
  <w:style w:type="paragraph" w:styleId="CommentText">
    <w:name w:val="annotation text"/>
    <w:basedOn w:val="Normal"/>
    <w:link w:val="CommentTextChar"/>
    <w:uiPriority w:val="99"/>
    <w:semiHidden/>
    <w:unhideWhenUsed/>
    <w:rsid w:val="00F0059A"/>
    <w:rPr>
      <w:sz w:val="20"/>
      <w:szCs w:val="20"/>
    </w:rPr>
  </w:style>
  <w:style w:type="character" w:customStyle="1" w:styleId="CommentTextChar">
    <w:name w:val="Comment Text Char"/>
    <w:basedOn w:val="DefaultParagraphFont"/>
    <w:link w:val="CommentText"/>
    <w:uiPriority w:val="99"/>
    <w:semiHidden/>
    <w:rsid w:val="00F0059A"/>
    <w:rPr>
      <w:sz w:val="20"/>
      <w:szCs w:val="20"/>
    </w:rPr>
  </w:style>
  <w:style w:type="paragraph" w:styleId="BalloonText">
    <w:name w:val="Balloon Text"/>
    <w:basedOn w:val="Normal"/>
    <w:link w:val="BalloonTextChar"/>
    <w:uiPriority w:val="99"/>
    <w:semiHidden/>
    <w:unhideWhenUsed/>
    <w:rsid w:val="00F005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059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E0EFA"/>
    <w:rPr>
      <w:b/>
      <w:bCs/>
    </w:rPr>
  </w:style>
  <w:style w:type="character" w:customStyle="1" w:styleId="CommentSubjectChar">
    <w:name w:val="Comment Subject Char"/>
    <w:basedOn w:val="CommentTextChar"/>
    <w:link w:val="CommentSubject"/>
    <w:uiPriority w:val="99"/>
    <w:semiHidden/>
    <w:rsid w:val="00FE0E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4513</Characters>
  <Application>Microsoft Office Word</Application>
  <DocSecurity>0</DocSecurity>
  <Lines>37</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Cox</dc:creator>
  <cp:lastModifiedBy>tca</cp:lastModifiedBy>
  <cp:revision>3</cp:revision>
  <dcterms:created xsi:type="dcterms:W3CDTF">2019-02-02T00:57:00Z</dcterms:created>
  <dcterms:modified xsi:type="dcterms:W3CDTF">2019-02-02T01:00:00Z</dcterms:modified>
</cp:coreProperties>
</file>